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694" w:rsidRPr="00C00D06" w:rsidRDefault="00C00D06" w:rsidP="00C00D06">
      <w:pPr>
        <w:jc w:val="center"/>
        <w:rPr>
          <w:rFonts w:ascii="宋体" w:eastAsia="宋体" w:hAnsi="宋体"/>
          <w:sz w:val="32"/>
        </w:rPr>
      </w:pPr>
      <w:r w:rsidRPr="00C00D06">
        <w:rPr>
          <w:rFonts w:ascii="宋体" w:eastAsia="宋体" w:hAnsi="宋体" w:hint="eastAsia"/>
          <w:sz w:val="32"/>
        </w:rPr>
        <w:t>江苏省地方标准</w:t>
      </w:r>
    </w:p>
    <w:p w:rsidR="00C00D06" w:rsidRPr="00C00D06" w:rsidRDefault="00C00D06" w:rsidP="00C00D06">
      <w:pPr>
        <w:jc w:val="center"/>
        <w:rPr>
          <w:rFonts w:ascii="宋体" w:eastAsia="宋体" w:hAnsi="宋体"/>
          <w:sz w:val="32"/>
        </w:rPr>
      </w:pPr>
      <w:r w:rsidRPr="00C00D06">
        <w:rPr>
          <w:rFonts w:ascii="宋体" w:eastAsia="宋体" w:hAnsi="宋体" w:hint="eastAsia"/>
          <w:sz w:val="32"/>
        </w:rPr>
        <w:t>《辣椒水稻轮作高效栽培技术规程》编制说明</w:t>
      </w:r>
    </w:p>
    <w:p w:rsidR="00C00D06" w:rsidRPr="006475F6" w:rsidRDefault="006475F6" w:rsidP="006475F6">
      <w:pPr>
        <w:spacing w:line="360" w:lineRule="auto"/>
        <w:rPr>
          <w:rFonts w:ascii="宋体" w:eastAsia="宋体" w:hAnsi="宋体"/>
          <w:b/>
          <w:sz w:val="24"/>
        </w:rPr>
      </w:pPr>
      <w:r>
        <w:rPr>
          <w:rFonts w:ascii="宋体" w:eastAsia="宋体" w:hAnsi="宋体" w:hint="eastAsia"/>
          <w:b/>
          <w:sz w:val="24"/>
        </w:rPr>
        <w:t>一、</w:t>
      </w:r>
      <w:r w:rsidR="00C00D06" w:rsidRPr="006475F6">
        <w:rPr>
          <w:rFonts w:ascii="宋体" w:eastAsia="宋体" w:hAnsi="宋体" w:hint="eastAsia"/>
          <w:b/>
          <w:sz w:val="24"/>
        </w:rPr>
        <w:t>目的意义</w:t>
      </w:r>
    </w:p>
    <w:p w:rsidR="00775939" w:rsidRDefault="00775939" w:rsidP="00775939">
      <w:pPr>
        <w:spacing w:line="360" w:lineRule="auto"/>
        <w:ind w:firstLineChars="200" w:firstLine="480"/>
        <w:rPr>
          <w:rFonts w:ascii="宋体" w:eastAsia="宋体" w:hAnsi="宋体"/>
          <w:sz w:val="24"/>
        </w:rPr>
      </w:pPr>
      <w:r w:rsidRPr="00775939">
        <w:rPr>
          <w:rFonts w:ascii="宋体" w:eastAsia="宋体" w:hAnsi="宋体" w:hint="eastAsia"/>
          <w:sz w:val="24"/>
        </w:rPr>
        <w:t>辣椒是我国最重要的蔬菜作物之一，全国各省市自治区几乎都有规模种植。根据农业农村部辣椒产业发展报告数据显示，</w:t>
      </w:r>
      <w:r w:rsidRPr="00775939">
        <w:rPr>
          <w:rFonts w:ascii="宋体" w:eastAsia="宋体" w:hAnsi="宋体"/>
          <w:sz w:val="24"/>
        </w:rPr>
        <w:t>2020年我国辣椒种植面积为3200万亩，年产量4000万吨，经济总量超过千亿元，栽培面积、产量和效益均居蔬菜之首，在我国蔬菜周年供应及提高农民经济收入中占据重要地位。江苏省辣椒种植面积稳定在100万亩左右，主要分布在淮安、宿迁、徐州、盐城等地。然而，连续种植辣椒3年以上，土壤连作障碍严重，导致病虫害危害加大，化肥农药使用量上升以及产量和品质急剧下降等问题。目前，一般种植户不具备休耕条件，因此如何在保障</w:t>
      </w:r>
      <w:r w:rsidRPr="00775939">
        <w:rPr>
          <w:rFonts w:ascii="宋体" w:eastAsia="宋体" w:hAnsi="宋体" w:hint="eastAsia"/>
          <w:sz w:val="24"/>
        </w:rPr>
        <w:t>农民收益的同时，采取适当的茬口安排进行轮作，解决好土壤连作障碍问题，是科技人员需要解决的重大生产实际需求问题。</w:t>
      </w:r>
      <w:r w:rsidRPr="00775939">
        <w:rPr>
          <w:rFonts w:ascii="宋体" w:eastAsia="宋体" w:hAnsi="宋体"/>
          <w:sz w:val="24"/>
        </w:rPr>
        <w:t xml:space="preserve">                 </w:t>
      </w:r>
      <w:r>
        <w:rPr>
          <w:rFonts w:ascii="宋体" w:eastAsia="宋体" w:hAnsi="宋体"/>
          <w:sz w:val="24"/>
        </w:rPr>
        <w:t xml:space="preserve">                               </w:t>
      </w:r>
    </w:p>
    <w:p w:rsidR="00775939" w:rsidRDefault="00775939" w:rsidP="00775939">
      <w:pPr>
        <w:spacing w:line="360" w:lineRule="auto"/>
        <w:ind w:firstLineChars="200" w:firstLine="480"/>
        <w:rPr>
          <w:rFonts w:ascii="宋体" w:eastAsia="宋体" w:hAnsi="宋体"/>
          <w:sz w:val="24"/>
        </w:rPr>
      </w:pPr>
      <w:r w:rsidRPr="00775939">
        <w:rPr>
          <w:rFonts w:ascii="宋体" w:eastAsia="宋体" w:hAnsi="宋体"/>
          <w:sz w:val="24"/>
        </w:rPr>
        <w:t>“辣椒水稻轮作高效栽培”是指一年内利用辣椒和水稻不同的生育期实现“水旱轮作”，通过茬口安排、培育壮苗、增施有机肥和微生物菌肥、温光肥管理、病虫害绿色防控等高效栽培技术，实现改良土壤理化性状、解决土壤连作障碍的有效途径，同时，又可以抑制辣椒水稻病虫草害发生、降低农药化肥使用量、减少投入成本，提高辣椒水稻产</w:t>
      </w:r>
      <w:r w:rsidRPr="00775939">
        <w:rPr>
          <w:rFonts w:ascii="宋体" w:eastAsia="宋体" w:hAnsi="宋体" w:hint="eastAsia"/>
          <w:sz w:val="24"/>
        </w:rPr>
        <w:t>量和品质的技术，该技术不仅可以解决好吃饭问题、土壤问题，又能发展高效农业，增加农民收入。</w:t>
      </w:r>
      <w:r w:rsidRPr="00775939">
        <w:rPr>
          <w:rFonts w:ascii="宋体" w:eastAsia="宋体" w:hAnsi="宋体"/>
          <w:sz w:val="24"/>
        </w:rPr>
        <w:t xml:space="preserve">                                                                 </w:t>
      </w:r>
    </w:p>
    <w:p w:rsidR="006475F6" w:rsidRDefault="00775939" w:rsidP="00775939">
      <w:pPr>
        <w:spacing w:line="360" w:lineRule="auto"/>
        <w:ind w:firstLineChars="200" w:firstLine="480"/>
        <w:rPr>
          <w:rFonts w:ascii="宋体" w:eastAsia="宋体" w:hAnsi="宋体"/>
          <w:sz w:val="24"/>
        </w:rPr>
      </w:pPr>
      <w:r w:rsidRPr="00775939">
        <w:rPr>
          <w:rFonts w:ascii="宋体" w:eastAsia="宋体" w:hAnsi="宋体"/>
          <w:sz w:val="24"/>
        </w:rPr>
        <w:t>“辣椒水稻轮作”模式最早于上世纪90年代在江苏省辣椒生产主产区淮阴区示范推广，由于该模式的生态效益和社会效益良好，目前已在江苏省辣椒主产区淮安、宿迁、徐州等地大面积推广应用，累计推广面积3万亩以上。同时，“辣椒水稻轮作”模式在内蒙古蒙自市、广东省肇庆市也有推广报道。“辣椒水稻轮作”模式中涉及</w:t>
      </w:r>
      <w:r w:rsidRPr="00775939">
        <w:rPr>
          <w:rFonts w:ascii="宋体" w:eastAsia="宋体" w:hAnsi="宋体" w:hint="eastAsia"/>
          <w:sz w:val="24"/>
        </w:rPr>
        <w:t>到的相关技术成熟度高，根据不同辣椒茬口安排，其中“早春大棚红椒水稻轮作模式”被评为</w:t>
      </w:r>
      <w:r w:rsidRPr="00775939">
        <w:rPr>
          <w:rFonts w:ascii="宋体" w:eastAsia="宋体" w:hAnsi="宋体"/>
          <w:sz w:val="24"/>
        </w:rPr>
        <w:t>2022-2023年度江苏省蔬菜主推模式。</w:t>
      </w:r>
      <w:r w:rsidR="006475F6">
        <w:rPr>
          <w:rFonts w:ascii="宋体" w:eastAsia="宋体" w:hAnsi="宋体" w:hint="eastAsia"/>
          <w:sz w:val="24"/>
        </w:rPr>
        <w:t>因此，</w:t>
      </w:r>
      <w:r>
        <w:rPr>
          <w:rFonts w:ascii="宋体" w:eastAsia="宋体" w:hAnsi="宋体" w:hint="eastAsia"/>
          <w:sz w:val="24"/>
        </w:rPr>
        <w:t>为了更好推广</w:t>
      </w:r>
      <w:r w:rsidRPr="00775939">
        <w:rPr>
          <w:rFonts w:ascii="宋体" w:eastAsia="宋体" w:hAnsi="宋体"/>
          <w:sz w:val="24"/>
        </w:rPr>
        <w:t>辣椒水稻轮作高效栽培</w:t>
      </w:r>
      <w:r>
        <w:rPr>
          <w:rFonts w:ascii="宋体" w:eastAsia="宋体" w:hAnsi="宋体" w:hint="eastAsia"/>
          <w:sz w:val="24"/>
        </w:rPr>
        <w:t>模式，</w:t>
      </w:r>
      <w:r w:rsidR="006475F6">
        <w:rPr>
          <w:rFonts w:ascii="宋体" w:eastAsia="宋体" w:hAnsi="宋体" w:hint="eastAsia"/>
          <w:sz w:val="24"/>
        </w:rPr>
        <w:t>保障粮食安全，促进农民增收，特制定本标准。</w:t>
      </w:r>
      <w:r w:rsidRPr="00775939">
        <w:rPr>
          <w:rFonts w:ascii="宋体" w:eastAsia="宋体" w:hAnsi="宋体"/>
          <w:sz w:val="24"/>
        </w:rPr>
        <w:t xml:space="preserve"> </w:t>
      </w:r>
    </w:p>
    <w:p w:rsidR="006475F6" w:rsidRDefault="006475F6" w:rsidP="006475F6">
      <w:pPr>
        <w:spacing w:line="360" w:lineRule="auto"/>
        <w:rPr>
          <w:rFonts w:ascii="宋体" w:eastAsia="宋体" w:hAnsi="宋体"/>
          <w:b/>
          <w:sz w:val="24"/>
        </w:rPr>
      </w:pPr>
      <w:r w:rsidRPr="006475F6">
        <w:rPr>
          <w:rFonts w:ascii="宋体" w:eastAsia="宋体" w:hAnsi="宋体" w:hint="eastAsia"/>
          <w:b/>
          <w:sz w:val="24"/>
        </w:rPr>
        <w:t>二、任务来源</w:t>
      </w:r>
      <w:r w:rsidR="00775939" w:rsidRPr="006475F6">
        <w:rPr>
          <w:rFonts w:ascii="宋体" w:eastAsia="宋体" w:hAnsi="宋体"/>
          <w:b/>
          <w:sz w:val="24"/>
        </w:rPr>
        <w:t xml:space="preserve"> </w:t>
      </w:r>
    </w:p>
    <w:p w:rsidR="00094217" w:rsidRDefault="006475F6" w:rsidP="006475F6">
      <w:pPr>
        <w:spacing w:line="360" w:lineRule="auto"/>
        <w:ind w:firstLineChars="200" w:firstLine="480"/>
        <w:rPr>
          <w:rFonts w:ascii="宋体" w:eastAsia="宋体" w:hAnsi="宋体"/>
          <w:sz w:val="24"/>
        </w:rPr>
      </w:pPr>
      <w:r w:rsidRPr="006475F6">
        <w:rPr>
          <w:rFonts w:ascii="宋体" w:eastAsia="宋体" w:hAnsi="宋体" w:hint="eastAsia"/>
          <w:sz w:val="24"/>
        </w:rPr>
        <w:t>标准由</w:t>
      </w:r>
      <w:r>
        <w:rPr>
          <w:rFonts w:ascii="宋体" w:eastAsia="宋体" w:hAnsi="宋体" w:hint="eastAsia"/>
          <w:sz w:val="24"/>
        </w:rPr>
        <w:t>江苏省农业科学院提出，江苏省市场监督管理局苏质技监标[</w:t>
      </w:r>
      <w:r>
        <w:rPr>
          <w:rFonts w:ascii="宋体" w:eastAsia="宋体" w:hAnsi="宋体"/>
          <w:sz w:val="24"/>
        </w:rPr>
        <w:t>2023]173</w:t>
      </w:r>
      <w:r>
        <w:rPr>
          <w:rFonts w:ascii="宋体" w:eastAsia="宋体" w:hAnsi="宋体" w:hint="eastAsia"/>
          <w:sz w:val="24"/>
        </w:rPr>
        <w:t>号批准立项，由江苏省农业科学院</w:t>
      </w:r>
      <w:r w:rsidR="00094217">
        <w:rPr>
          <w:rFonts w:ascii="宋体" w:eastAsia="宋体" w:hAnsi="宋体" w:hint="eastAsia"/>
          <w:sz w:val="24"/>
        </w:rPr>
        <w:t>、江苏省农业技术推广总站、淮安</w:t>
      </w:r>
      <w:r w:rsidR="00094217">
        <w:rPr>
          <w:rFonts w:ascii="宋体" w:eastAsia="宋体" w:hAnsi="宋体" w:hint="eastAsia"/>
          <w:sz w:val="24"/>
        </w:rPr>
        <w:lastRenderedPageBreak/>
        <w:t>市清江浦区农业技术推广中心、淮安市农业技术推广中心等单位共同完成。</w:t>
      </w:r>
    </w:p>
    <w:p w:rsidR="00094217" w:rsidRDefault="00094217" w:rsidP="00094217">
      <w:pPr>
        <w:spacing w:line="360" w:lineRule="auto"/>
        <w:rPr>
          <w:rFonts w:ascii="宋体" w:eastAsia="宋体" w:hAnsi="宋体"/>
          <w:b/>
          <w:sz w:val="24"/>
        </w:rPr>
      </w:pPr>
      <w:r w:rsidRPr="00094217">
        <w:rPr>
          <w:rFonts w:ascii="宋体" w:eastAsia="宋体" w:hAnsi="宋体" w:hint="eastAsia"/>
          <w:b/>
          <w:sz w:val="24"/>
        </w:rPr>
        <w:t>三、编制过程</w:t>
      </w:r>
    </w:p>
    <w:p w:rsidR="00041194" w:rsidRDefault="00094217" w:rsidP="00041194">
      <w:pPr>
        <w:spacing w:line="360" w:lineRule="auto"/>
        <w:ind w:firstLine="480"/>
        <w:rPr>
          <w:rFonts w:ascii="宋体" w:eastAsia="宋体" w:hAnsi="宋体"/>
          <w:sz w:val="24"/>
        </w:rPr>
      </w:pPr>
      <w:r w:rsidRPr="00094217">
        <w:rPr>
          <w:rFonts w:ascii="宋体" w:eastAsia="宋体" w:hAnsi="宋体" w:hint="eastAsia"/>
          <w:sz w:val="24"/>
        </w:rPr>
        <w:t>一是筹备准备阶段：</w:t>
      </w:r>
      <w:r w:rsidR="00B65E1F">
        <w:rPr>
          <w:rFonts w:ascii="宋体" w:eastAsia="宋体" w:hAnsi="宋体" w:hint="eastAsia"/>
          <w:sz w:val="24"/>
        </w:rPr>
        <w:t>2</w:t>
      </w:r>
      <w:r w:rsidR="00B65E1F">
        <w:rPr>
          <w:rFonts w:ascii="宋体" w:eastAsia="宋体" w:hAnsi="宋体"/>
          <w:sz w:val="24"/>
        </w:rPr>
        <w:t>02</w:t>
      </w:r>
      <w:r w:rsidR="00041194">
        <w:rPr>
          <w:rFonts w:ascii="宋体" w:eastAsia="宋体" w:hAnsi="宋体"/>
          <w:sz w:val="24"/>
        </w:rPr>
        <w:t>2</w:t>
      </w:r>
      <w:r w:rsidR="00B65E1F">
        <w:rPr>
          <w:rFonts w:ascii="宋体" w:eastAsia="宋体" w:hAnsi="宋体" w:hint="eastAsia"/>
          <w:sz w:val="24"/>
        </w:rPr>
        <w:t>年成立标准制定小组，各成员单位分工负责、各司其职，保证人员稳定，职责清晰。江苏省农业科学院长期从事辣椒和水稻新品种新技术研发工作，负责标准草案起草工作。江苏省农业技术推广总站结合多年辣椒和水稻生产管理技术推广经验，从茬口安排、品种选择等方面完善标准。淮安市清江浦区农业技术推广中心、淮安市农业技术推广中心结合多年多点</w:t>
      </w:r>
      <w:r w:rsidR="00041194">
        <w:rPr>
          <w:rFonts w:ascii="宋体" w:eastAsia="宋体" w:hAnsi="宋体" w:hint="eastAsia"/>
          <w:sz w:val="24"/>
        </w:rPr>
        <w:t>淮安地区辣椒和水稻轮作生产实践，负责从栽培模式、育苗、病虫害防控等方面完善标准。</w:t>
      </w:r>
    </w:p>
    <w:p w:rsidR="00041194" w:rsidRDefault="00041194" w:rsidP="00041194">
      <w:pPr>
        <w:spacing w:line="360" w:lineRule="auto"/>
        <w:ind w:firstLine="480"/>
        <w:rPr>
          <w:rFonts w:ascii="宋体" w:eastAsia="宋体" w:hAnsi="宋体"/>
          <w:sz w:val="24"/>
        </w:rPr>
      </w:pPr>
      <w:r>
        <w:rPr>
          <w:rFonts w:ascii="宋体" w:eastAsia="宋体" w:hAnsi="宋体" w:hint="eastAsia"/>
          <w:sz w:val="24"/>
        </w:rPr>
        <w:t>二是调研试验阶段：编制成员单位持续开展辣椒、水稻轮作生产调研，多次赴淮安市淮阴区、清江浦区、淮安区、洪泽区、盱眙县</w:t>
      </w:r>
      <w:r w:rsidR="00D96BA1">
        <w:rPr>
          <w:rFonts w:ascii="宋体" w:eastAsia="宋体" w:hAnsi="宋体" w:hint="eastAsia"/>
          <w:sz w:val="24"/>
        </w:rPr>
        <w:t>以及南京、扬州、盐城</w:t>
      </w:r>
      <w:r>
        <w:rPr>
          <w:rFonts w:ascii="宋体" w:eastAsia="宋体" w:hAnsi="宋体" w:hint="eastAsia"/>
          <w:sz w:val="24"/>
        </w:rPr>
        <w:t>等地区开展栽培品种、茬口安排、田间管理、病虫害防控、收获</w:t>
      </w:r>
      <w:r w:rsidRPr="00306450">
        <w:rPr>
          <w:rFonts w:ascii="Times New Roman" w:eastAsia="宋体" w:hAnsi="Times New Roman" w:cs="Times New Roman"/>
          <w:kern w:val="0"/>
          <w:sz w:val="24"/>
        </w:rPr>
        <w:t>贮藏</w:t>
      </w:r>
      <w:r>
        <w:rPr>
          <w:rFonts w:ascii="宋体" w:eastAsia="宋体" w:hAnsi="宋体" w:hint="eastAsia"/>
          <w:sz w:val="24"/>
        </w:rPr>
        <w:t>等情况进行调查，为标准各项关键技术提供依据。</w:t>
      </w:r>
    </w:p>
    <w:p w:rsidR="00FD70F4" w:rsidRDefault="001E0905" w:rsidP="00041194">
      <w:pPr>
        <w:spacing w:line="360" w:lineRule="auto"/>
        <w:ind w:firstLine="480"/>
        <w:rPr>
          <w:rFonts w:ascii="Times New Roman" w:eastAsia="宋体" w:hAnsi="Times New Roman" w:cs="Times New Roman"/>
          <w:kern w:val="0"/>
          <w:sz w:val="24"/>
        </w:rPr>
      </w:pPr>
      <w:r>
        <w:rPr>
          <w:rFonts w:ascii="宋体" w:eastAsia="宋体" w:hAnsi="宋体" w:hint="eastAsia"/>
          <w:sz w:val="24"/>
        </w:rPr>
        <w:t>三是技术集成验证阶段：在</w:t>
      </w:r>
      <w:r w:rsidR="00D96BA1">
        <w:rPr>
          <w:rFonts w:ascii="宋体" w:eastAsia="宋体" w:hAnsi="宋体" w:hint="eastAsia"/>
          <w:sz w:val="24"/>
        </w:rPr>
        <w:t>试验研究基础上，2</w:t>
      </w:r>
      <w:r w:rsidR="00D96BA1">
        <w:rPr>
          <w:rFonts w:ascii="宋体" w:eastAsia="宋体" w:hAnsi="宋体"/>
          <w:sz w:val="24"/>
        </w:rPr>
        <w:t>022</w:t>
      </w:r>
      <w:r w:rsidR="00D96BA1">
        <w:rPr>
          <w:rFonts w:ascii="宋体" w:eastAsia="宋体" w:hAnsi="宋体" w:hint="eastAsia"/>
          <w:sz w:val="24"/>
        </w:rPr>
        <w:t>-</w:t>
      </w:r>
      <w:r w:rsidR="00D96BA1">
        <w:rPr>
          <w:rFonts w:ascii="宋体" w:eastAsia="宋体" w:hAnsi="宋体"/>
          <w:sz w:val="24"/>
        </w:rPr>
        <w:t>2023</w:t>
      </w:r>
      <w:r w:rsidR="00D96BA1">
        <w:rPr>
          <w:rFonts w:ascii="宋体" w:eastAsia="宋体" w:hAnsi="宋体" w:hint="eastAsia"/>
          <w:sz w:val="24"/>
        </w:rPr>
        <w:t>年制定标准草案，集成以高产高效优质多抗品种应用、高效栽培、水肥精准管理、病虫害防控、采收</w:t>
      </w:r>
      <w:r w:rsidR="00D96BA1" w:rsidRPr="00306450">
        <w:rPr>
          <w:rFonts w:ascii="Times New Roman" w:eastAsia="宋体" w:hAnsi="Times New Roman" w:cs="Times New Roman"/>
          <w:kern w:val="0"/>
          <w:sz w:val="24"/>
        </w:rPr>
        <w:t>贮藏</w:t>
      </w:r>
      <w:r w:rsidR="00D96BA1">
        <w:rPr>
          <w:rFonts w:ascii="Times New Roman" w:eastAsia="宋体" w:hAnsi="Times New Roman" w:cs="Times New Roman" w:hint="eastAsia"/>
          <w:kern w:val="0"/>
          <w:sz w:val="24"/>
        </w:rPr>
        <w:t>为核心的辣椒水稻轮作高效生产技术模式，在</w:t>
      </w:r>
      <w:r w:rsidR="00835D3B">
        <w:rPr>
          <w:rFonts w:ascii="Times New Roman" w:eastAsia="宋体" w:hAnsi="Times New Roman" w:cs="Times New Roman" w:hint="eastAsia"/>
          <w:kern w:val="0"/>
          <w:sz w:val="24"/>
        </w:rPr>
        <w:t>辣椒主产区试验示范，做好标准的验证工作，根据试验示范情况不断完善标准内容，对相关操作技术进行更新完善，保证</w:t>
      </w:r>
      <w:r w:rsidR="00FD70F4">
        <w:rPr>
          <w:rFonts w:ascii="Times New Roman" w:eastAsia="宋体" w:hAnsi="Times New Roman" w:cs="Times New Roman" w:hint="eastAsia"/>
          <w:kern w:val="0"/>
          <w:sz w:val="24"/>
        </w:rPr>
        <w:t>标准的时效性、科学性和可操作性。</w:t>
      </w:r>
    </w:p>
    <w:p w:rsidR="009F7D54" w:rsidRDefault="00FD70F4" w:rsidP="00041194">
      <w:pPr>
        <w:spacing w:line="360" w:lineRule="auto"/>
        <w:ind w:firstLine="480"/>
        <w:rPr>
          <w:rFonts w:ascii="宋体" w:eastAsia="宋体" w:hAnsi="宋体"/>
          <w:sz w:val="24"/>
        </w:rPr>
      </w:pPr>
      <w:r>
        <w:rPr>
          <w:rFonts w:ascii="Times New Roman" w:eastAsia="宋体" w:hAnsi="Times New Roman" w:cs="Times New Roman" w:hint="eastAsia"/>
          <w:kern w:val="0"/>
          <w:sz w:val="24"/>
        </w:rPr>
        <w:t>四是广泛征求意见阶段：</w:t>
      </w:r>
      <w:r>
        <w:rPr>
          <w:rFonts w:ascii="Times New Roman" w:eastAsia="宋体" w:hAnsi="Times New Roman" w:cs="Times New Roman" w:hint="eastAsia"/>
          <w:kern w:val="0"/>
          <w:sz w:val="24"/>
        </w:rPr>
        <w:t>2</w:t>
      </w:r>
      <w:r>
        <w:rPr>
          <w:rFonts w:ascii="Times New Roman" w:eastAsia="宋体" w:hAnsi="Times New Roman" w:cs="Times New Roman"/>
          <w:kern w:val="0"/>
          <w:sz w:val="24"/>
        </w:rPr>
        <w:t>023</w:t>
      </w:r>
      <w:r>
        <w:rPr>
          <w:rFonts w:ascii="Times New Roman" w:eastAsia="宋体" w:hAnsi="Times New Roman" w:cs="Times New Roman" w:hint="eastAsia"/>
          <w:kern w:val="0"/>
          <w:sz w:val="24"/>
        </w:rPr>
        <w:t>年</w:t>
      </w:r>
      <w:r>
        <w:rPr>
          <w:rFonts w:ascii="Times New Roman" w:eastAsia="宋体" w:hAnsi="Times New Roman" w:cs="Times New Roman" w:hint="eastAsia"/>
          <w:kern w:val="0"/>
          <w:sz w:val="24"/>
        </w:rPr>
        <w:t>8</w:t>
      </w:r>
      <w:r>
        <w:rPr>
          <w:rFonts w:ascii="Times New Roman" w:eastAsia="宋体" w:hAnsi="Times New Roman" w:cs="Times New Roman" w:hint="eastAsia"/>
          <w:kern w:val="0"/>
          <w:sz w:val="24"/>
        </w:rPr>
        <w:t>月草案通过省地方标准立项，</w:t>
      </w:r>
      <w:r>
        <w:rPr>
          <w:rFonts w:ascii="Times New Roman" w:eastAsia="宋体" w:hAnsi="Times New Roman" w:cs="Times New Roman" w:hint="eastAsia"/>
          <w:kern w:val="0"/>
          <w:sz w:val="24"/>
        </w:rPr>
        <w:t>2</w:t>
      </w:r>
      <w:r>
        <w:rPr>
          <w:rFonts w:ascii="Times New Roman" w:eastAsia="宋体" w:hAnsi="Times New Roman" w:cs="Times New Roman"/>
          <w:kern w:val="0"/>
          <w:sz w:val="24"/>
        </w:rPr>
        <w:t>024</w:t>
      </w:r>
      <w:r>
        <w:rPr>
          <w:rFonts w:ascii="Times New Roman" w:eastAsia="宋体" w:hAnsi="Times New Roman" w:cs="Times New Roman" w:hint="eastAsia"/>
          <w:kern w:val="0"/>
          <w:sz w:val="24"/>
        </w:rPr>
        <w:t>年</w:t>
      </w:r>
      <w:r>
        <w:rPr>
          <w:rFonts w:ascii="Times New Roman" w:eastAsia="宋体" w:hAnsi="Times New Roman" w:cs="Times New Roman" w:hint="eastAsia"/>
          <w:kern w:val="0"/>
          <w:sz w:val="24"/>
        </w:rPr>
        <w:t>8</w:t>
      </w:r>
      <w:r>
        <w:rPr>
          <w:rFonts w:ascii="Times New Roman" w:eastAsia="宋体" w:hAnsi="Times New Roman" w:cs="Times New Roman" w:hint="eastAsia"/>
          <w:kern w:val="0"/>
          <w:sz w:val="24"/>
        </w:rPr>
        <w:t>月征求江苏省农业科学院、南京农业大学、江苏省农业技术推广总站、江苏徐淮地区徐州农业科学研究所、江苏徐淮地区淮阴农业科学研究所、江苏沿海地区农业科学研究所、盐城市蔬菜站、浙江省衢州市</w:t>
      </w:r>
      <w:r w:rsidR="009F7D54">
        <w:rPr>
          <w:rFonts w:ascii="Times New Roman" w:eastAsia="宋体" w:hAnsi="Times New Roman" w:cs="Times New Roman" w:hint="eastAsia"/>
          <w:kern w:val="0"/>
          <w:sz w:val="24"/>
        </w:rPr>
        <w:t>农业林业科学研究院、扬州市江都区农业农村局、</w:t>
      </w:r>
      <w:r w:rsidR="009F7D54">
        <w:rPr>
          <w:rFonts w:ascii="宋体" w:eastAsia="宋体" w:hAnsi="宋体" w:hint="eastAsia"/>
          <w:sz w:val="24"/>
        </w:rPr>
        <w:t>淮安市清江浦区农业技术推广中心相关专家意见，收到来自1</w:t>
      </w:r>
      <w:r w:rsidR="009F7D54">
        <w:rPr>
          <w:rFonts w:ascii="宋体" w:eastAsia="宋体" w:hAnsi="宋体"/>
          <w:sz w:val="24"/>
        </w:rPr>
        <w:t>0</w:t>
      </w:r>
      <w:r w:rsidR="009F7D54">
        <w:rPr>
          <w:rFonts w:ascii="宋体" w:eastAsia="宋体" w:hAnsi="宋体" w:hint="eastAsia"/>
          <w:sz w:val="24"/>
        </w:rPr>
        <w:t>家单位1</w:t>
      </w:r>
      <w:r w:rsidR="009F7D54">
        <w:rPr>
          <w:rFonts w:ascii="宋体" w:eastAsia="宋体" w:hAnsi="宋体"/>
          <w:sz w:val="24"/>
        </w:rPr>
        <w:t>2</w:t>
      </w:r>
      <w:r w:rsidR="009F7D54">
        <w:rPr>
          <w:rFonts w:ascii="宋体" w:eastAsia="宋体" w:hAnsi="宋体" w:hint="eastAsia"/>
          <w:sz w:val="24"/>
        </w:rPr>
        <w:t>位专家的</w:t>
      </w:r>
      <w:r w:rsidR="00C203F8">
        <w:rPr>
          <w:rFonts w:ascii="宋体" w:eastAsia="宋体" w:hAnsi="宋体"/>
          <w:sz w:val="24"/>
        </w:rPr>
        <w:t>50</w:t>
      </w:r>
      <w:r w:rsidR="009F7D54">
        <w:rPr>
          <w:rFonts w:ascii="宋体" w:eastAsia="宋体" w:hAnsi="宋体" w:hint="eastAsia"/>
          <w:sz w:val="24"/>
        </w:rPr>
        <w:t>条修改建议，其中采纳</w:t>
      </w:r>
      <w:r w:rsidR="00C203F8">
        <w:rPr>
          <w:rFonts w:ascii="宋体" w:eastAsia="宋体" w:hAnsi="宋体"/>
          <w:sz w:val="24"/>
        </w:rPr>
        <w:t>47</w:t>
      </w:r>
      <w:r w:rsidR="009F7D54">
        <w:rPr>
          <w:rFonts w:ascii="宋体" w:eastAsia="宋体" w:hAnsi="宋体" w:hint="eastAsia"/>
          <w:sz w:val="24"/>
        </w:rPr>
        <w:t>条，未采纳</w:t>
      </w:r>
      <w:r w:rsidR="00C203F8">
        <w:rPr>
          <w:rFonts w:ascii="宋体" w:eastAsia="宋体" w:hAnsi="宋体" w:hint="eastAsia"/>
          <w:sz w:val="24"/>
        </w:rPr>
        <w:t>3</w:t>
      </w:r>
      <w:bookmarkStart w:id="0" w:name="_GoBack"/>
      <w:bookmarkEnd w:id="0"/>
      <w:r w:rsidR="009F7D54">
        <w:rPr>
          <w:rFonts w:ascii="宋体" w:eastAsia="宋体" w:hAnsi="宋体" w:hint="eastAsia"/>
          <w:sz w:val="24"/>
        </w:rPr>
        <w:t>条。根据专家修改意见，最终形成本文件（征求意见汇总处理表附后）。</w:t>
      </w:r>
    </w:p>
    <w:p w:rsidR="009F7D54" w:rsidRDefault="009F7D54" w:rsidP="00041194">
      <w:pPr>
        <w:spacing w:line="360" w:lineRule="auto"/>
        <w:ind w:firstLine="480"/>
        <w:rPr>
          <w:rFonts w:ascii="宋体" w:eastAsia="宋体" w:hAnsi="宋体"/>
          <w:b/>
          <w:sz w:val="24"/>
        </w:rPr>
      </w:pPr>
      <w:r w:rsidRPr="009F7D54">
        <w:rPr>
          <w:rFonts w:ascii="宋体" w:eastAsia="宋体" w:hAnsi="宋体" w:hint="eastAsia"/>
          <w:b/>
          <w:sz w:val="24"/>
        </w:rPr>
        <w:t>四、主要内容</w:t>
      </w:r>
    </w:p>
    <w:p w:rsidR="00FD70F4" w:rsidRPr="00CA6912" w:rsidRDefault="009F7D54" w:rsidP="00041194">
      <w:pPr>
        <w:spacing w:line="360" w:lineRule="auto"/>
        <w:ind w:firstLine="480"/>
        <w:rPr>
          <w:rFonts w:ascii="Times New Roman" w:eastAsia="宋体" w:hAnsi="Times New Roman" w:cs="Times New Roman"/>
          <w:sz w:val="24"/>
        </w:rPr>
      </w:pPr>
      <w:r w:rsidRPr="009F7D54">
        <w:rPr>
          <w:rFonts w:ascii="宋体" w:eastAsia="宋体" w:hAnsi="宋体" w:hint="eastAsia"/>
          <w:sz w:val="24"/>
        </w:rPr>
        <w:t>本标准规定了辣椒水稻轮作高效栽培技术中的壮苗培育、温光肥调控、植株管理、病虫害绿色防控、采收、加工、生产记录等。适用于江苏省乃至全国从事大</w:t>
      </w:r>
      <w:r w:rsidRPr="00CA6912">
        <w:rPr>
          <w:rFonts w:ascii="Times New Roman" w:eastAsia="宋体" w:hAnsi="Times New Roman" w:cs="Times New Roman"/>
          <w:sz w:val="24"/>
        </w:rPr>
        <w:t>棚辣椒生产相关研究的科研院所、企业及个体种植户。</w:t>
      </w:r>
      <w:r w:rsidR="00775939" w:rsidRPr="00CA6912">
        <w:rPr>
          <w:rFonts w:ascii="Times New Roman" w:eastAsia="宋体" w:hAnsi="Times New Roman" w:cs="Times New Roman"/>
          <w:sz w:val="24"/>
        </w:rPr>
        <w:t xml:space="preserve"> </w:t>
      </w:r>
    </w:p>
    <w:p w:rsidR="00CA6912" w:rsidRPr="00CA6912" w:rsidRDefault="00CA6912" w:rsidP="00CA6912">
      <w:pPr>
        <w:pStyle w:val="a3"/>
        <w:numPr>
          <w:ilvl w:val="0"/>
          <w:numId w:val="2"/>
        </w:numPr>
        <w:spacing w:line="360" w:lineRule="auto"/>
        <w:ind w:firstLineChars="0"/>
        <w:rPr>
          <w:rFonts w:ascii="Times New Roman" w:eastAsia="宋体" w:hAnsi="Times New Roman" w:cs="Times New Roman"/>
          <w:sz w:val="24"/>
        </w:rPr>
      </w:pPr>
      <w:r w:rsidRPr="00CA6912">
        <w:rPr>
          <w:rFonts w:ascii="Times New Roman" w:eastAsia="宋体" w:hAnsi="Times New Roman" w:cs="Times New Roman"/>
          <w:sz w:val="24"/>
        </w:rPr>
        <w:t>品种选择与茬口安排</w:t>
      </w:r>
    </w:p>
    <w:p w:rsidR="00CA6912" w:rsidRPr="00F027F9" w:rsidRDefault="00CA6912" w:rsidP="00F027F9">
      <w:pPr>
        <w:pStyle w:val="a4"/>
        <w:spacing w:line="360" w:lineRule="auto"/>
        <w:ind w:firstLineChars="0" w:firstLine="450"/>
        <w:rPr>
          <w:rFonts w:ascii="Times New Roman" w:eastAsia="宋体" w:hAnsi="Times New Roman" w:cs="Times New Roman"/>
          <w:sz w:val="24"/>
        </w:rPr>
      </w:pPr>
      <w:r w:rsidRPr="00CA6912">
        <w:rPr>
          <w:rFonts w:ascii="Times New Roman" w:eastAsia="宋体" w:hAnsi="Times New Roman" w:cs="Times New Roman"/>
          <w:sz w:val="24"/>
        </w:rPr>
        <w:lastRenderedPageBreak/>
        <w:t>参照</w:t>
      </w:r>
      <w:r w:rsidRPr="00CA6912">
        <w:rPr>
          <w:rFonts w:ascii="Times New Roman" w:eastAsia="宋体" w:hAnsi="Times New Roman" w:cs="Times New Roman"/>
          <w:sz w:val="24"/>
        </w:rPr>
        <w:t>GB16715.3</w:t>
      </w:r>
      <w:r w:rsidRPr="00CA6912">
        <w:rPr>
          <w:rFonts w:ascii="Times New Roman" w:eastAsia="宋体" w:hAnsi="Times New Roman" w:cs="Times New Roman"/>
          <w:sz w:val="24"/>
        </w:rPr>
        <w:t>《瓜菜作物种子</w:t>
      </w:r>
      <w:r w:rsidRPr="00CA6912">
        <w:rPr>
          <w:rFonts w:ascii="Times New Roman" w:eastAsia="宋体" w:hAnsi="Times New Roman" w:cs="Times New Roman"/>
          <w:sz w:val="24"/>
        </w:rPr>
        <w:t xml:space="preserve"> </w:t>
      </w:r>
      <w:r w:rsidRPr="00CA6912">
        <w:rPr>
          <w:rFonts w:ascii="Times New Roman" w:eastAsia="宋体" w:hAnsi="Times New Roman" w:cs="Times New Roman"/>
          <w:sz w:val="24"/>
        </w:rPr>
        <w:t>茄果类》和</w:t>
      </w:r>
      <w:r w:rsidRPr="00CA6912">
        <w:rPr>
          <w:rFonts w:ascii="Times New Roman" w:eastAsia="宋体" w:hAnsi="Times New Roman" w:cs="Times New Roman"/>
          <w:sz w:val="24"/>
        </w:rPr>
        <w:t>GB4404.1</w:t>
      </w:r>
      <w:r w:rsidRPr="00CA6912">
        <w:rPr>
          <w:rFonts w:ascii="Times New Roman" w:eastAsia="宋体" w:hAnsi="Times New Roman" w:cs="Times New Roman"/>
          <w:sz w:val="24"/>
        </w:rPr>
        <w:t>《粮食作物种子</w:t>
      </w:r>
      <w:r w:rsidRPr="00CA6912">
        <w:rPr>
          <w:rFonts w:ascii="Times New Roman" w:eastAsia="宋体" w:hAnsi="Times New Roman" w:cs="Times New Roman"/>
          <w:sz w:val="24"/>
        </w:rPr>
        <w:t xml:space="preserve"> </w:t>
      </w:r>
      <w:r w:rsidRPr="00CA6912">
        <w:rPr>
          <w:rFonts w:ascii="Times New Roman" w:eastAsia="宋体" w:hAnsi="Times New Roman" w:cs="Times New Roman"/>
          <w:sz w:val="24"/>
        </w:rPr>
        <w:t>禾谷类》</w:t>
      </w:r>
      <w:r w:rsidR="00C040BD">
        <w:rPr>
          <w:rFonts w:ascii="Times New Roman" w:eastAsia="宋体" w:hAnsi="Times New Roman" w:cs="Times New Roman" w:hint="eastAsia"/>
          <w:sz w:val="24"/>
        </w:rPr>
        <w:t>相关规定，选择抗病、高产、优质</w:t>
      </w:r>
      <w:r w:rsidR="00F027F9">
        <w:rPr>
          <w:rFonts w:ascii="Times New Roman" w:eastAsia="宋体" w:hAnsi="Times New Roman" w:cs="Times New Roman" w:hint="eastAsia"/>
          <w:sz w:val="24"/>
        </w:rPr>
        <w:t>、商品性突出的辣椒品种以及</w:t>
      </w:r>
      <w:r w:rsidR="00F027F9" w:rsidRPr="00306450">
        <w:rPr>
          <w:rFonts w:ascii="Times New Roman" w:eastAsia="宋体" w:hAnsi="Times New Roman" w:cs="Times New Roman"/>
          <w:sz w:val="24"/>
        </w:rPr>
        <w:t>选择适应性、丰产性、稳定性、抗逆性好，食味品质优良的水稻品种。</w:t>
      </w:r>
      <w:r w:rsidR="00F027F9">
        <w:rPr>
          <w:rFonts w:ascii="Times New Roman" w:eastAsia="宋体" w:hAnsi="Times New Roman" w:cs="Times New Roman" w:hint="eastAsia"/>
          <w:sz w:val="24"/>
        </w:rPr>
        <w:t>茬口安排上</w:t>
      </w:r>
      <w:r w:rsidR="00F027F9" w:rsidRPr="00306450">
        <w:rPr>
          <w:rFonts w:ascii="Times New Roman" w:eastAsia="宋体" w:hAnsi="Times New Roman" w:cs="Times New Roman"/>
          <w:sz w:val="24"/>
        </w:rPr>
        <w:t>辣椒在不同设施条件下可以实现周年生产，根据水稻生长季节，结合设施条件和上市日期进行辣椒茬口安排</w:t>
      </w:r>
      <w:r w:rsidR="00F027F9">
        <w:rPr>
          <w:rFonts w:ascii="Times New Roman" w:eastAsia="宋体" w:hAnsi="Times New Roman" w:cs="Times New Roman" w:hint="eastAsia"/>
          <w:sz w:val="24"/>
        </w:rPr>
        <w:t>。</w:t>
      </w:r>
    </w:p>
    <w:p w:rsidR="00BF7901" w:rsidRDefault="00BF7901" w:rsidP="00BF7901">
      <w:pPr>
        <w:pStyle w:val="a3"/>
        <w:numPr>
          <w:ilvl w:val="0"/>
          <w:numId w:val="2"/>
        </w:numPr>
        <w:spacing w:line="360" w:lineRule="auto"/>
        <w:ind w:firstLineChars="0"/>
        <w:rPr>
          <w:rFonts w:ascii="Times New Roman" w:eastAsia="宋体" w:hAnsi="Times New Roman" w:cs="Times New Roman"/>
          <w:sz w:val="24"/>
        </w:rPr>
      </w:pPr>
      <w:r w:rsidRPr="00BF7901">
        <w:rPr>
          <w:rFonts w:ascii="Times New Roman" w:eastAsia="宋体" w:hAnsi="Times New Roman" w:cs="Times New Roman" w:hint="eastAsia"/>
          <w:sz w:val="24"/>
        </w:rPr>
        <w:t>栽培管理和水肥管理</w:t>
      </w:r>
    </w:p>
    <w:p w:rsidR="00BF7901" w:rsidRPr="001375F0" w:rsidRDefault="001375F0" w:rsidP="001375F0">
      <w:pPr>
        <w:spacing w:line="360" w:lineRule="auto"/>
        <w:ind w:firstLineChars="200" w:firstLine="480"/>
        <w:rPr>
          <w:rFonts w:ascii="Times New Roman" w:eastAsia="宋体" w:hAnsi="Times New Roman" w:cs="Times New Roman"/>
          <w:sz w:val="24"/>
        </w:rPr>
      </w:pPr>
      <w:r w:rsidRPr="001375F0">
        <w:rPr>
          <w:rFonts w:ascii="Times New Roman" w:eastAsia="宋体" w:hAnsi="Times New Roman" w:cs="Times New Roman" w:hint="eastAsia"/>
          <w:sz w:val="24"/>
        </w:rPr>
        <w:t>辣椒种植全生育过程中的农事操作、水肥管理措施参照</w:t>
      </w:r>
      <w:r w:rsidR="00705364">
        <w:rPr>
          <w:rFonts w:ascii="Times New Roman" w:eastAsia="宋体" w:hAnsi="Times New Roman" w:cs="Times New Roman"/>
          <w:sz w:val="24"/>
        </w:rPr>
        <w:t>DB32/T 536</w:t>
      </w:r>
      <w:r w:rsidR="00705364">
        <w:rPr>
          <w:rFonts w:ascii="Times New Roman" w:eastAsia="宋体" w:hAnsi="Times New Roman" w:cs="Times New Roman" w:hint="eastAsia"/>
          <w:sz w:val="24"/>
        </w:rPr>
        <w:t>-</w:t>
      </w:r>
      <w:r w:rsidR="00705364">
        <w:rPr>
          <w:rFonts w:ascii="Times New Roman" w:eastAsia="宋体" w:hAnsi="Times New Roman" w:cs="Times New Roman"/>
          <w:sz w:val="24"/>
        </w:rPr>
        <w:t>2010</w:t>
      </w:r>
      <w:r w:rsidR="00705364">
        <w:rPr>
          <w:rFonts w:ascii="Times New Roman" w:eastAsia="宋体" w:hAnsi="Times New Roman" w:cs="Times New Roman" w:hint="eastAsia"/>
          <w:sz w:val="24"/>
        </w:rPr>
        <w:t>《塑料大棚辣椒栽培技术规程》及“江苏淮安苏椒</w:t>
      </w:r>
      <w:r w:rsidR="00705364">
        <w:rPr>
          <w:rFonts w:ascii="Times New Roman" w:eastAsia="宋体" w:hAnsi="Times New Roman" w:cs="Times New Roman" w:hint="eastAsia"/>
          <w:sz w:val="24"/>
        </w:rPr>
        <w:t>1</w:t>
      </w:r>
      <w:r w:rsidR="00705364">
        <w:rPr>
          <w:rFonts w:ascii="Times New Roman" w:eastAsia="宋体" w:hAnsi="Times New Roman" w:cs="Times New Roman"/>
          <w:sz w:val="24"/>
        </w:rPr>
        <w:t>614</w:t>
      </w:r>
      <w:r w:rsidR="00705364">
        <w:rPr>
          <w:rFonts w:ascii="Times New Roman" w:eastAsia="宋体" w:hAnsi="Times New Roman" w:cs="Times New Roman" w:hint="eastAsia"/>
          <w:sz w:val="24"/>
        </w:rPr>
        <w:t>春提早优质高效栽培技术”等技术，生长期加强植株调整、肥水管理和病虫害防治；水稻种植全生育期过程中的农事操作参考</w:t>
      </w:r>
      <w:r w:rsidR="00705364">
        <w:rPr>
          <w:rFonts w:ascii="Times New Roman" w:eastAsia="宋体" w:hAnsi="Times New Roman" w:cs="Times New Roman" w:hint="eastAsia"/>
          <w:sz w:val="24"/>
        </w:rPr>
        <w:t>D</w:t>
      </w:r>
      <w:r w:rsidR="00705364">
        <w:rPr>
          <w:rFonts w:ascii="Times New Roman" w:eastAsia="宋体" w:hAnsi="Times New Roman" w:cs="Times New Roman"/>
          <w:sz w:val="24"/>
        </w:rPr>
        <w:t>B32</w:t>
      </w:r>
      <w:r w:rsidR="00705364">
        <w:rPr>
          <w:rFonts w:ascii="Times New Roman" w:eastAsia="宋体" w:hAnsi="Times New Roman" w:cs="Times New Roman" w:hint="eastAsia"/>
          <w:sz w:val="24"/>
        </w:rPr>
        <w:t>/</w:t>
      </w:r>
      <w:r w:rsidR="00705364">
        <w:rPr>
          <w:rFonts w:ascii="Times New Roman" w:eastAsia="宋体" w:hAnsi="Times New Roman" w:cs="Times New Roman"/>
          <w:sz w:val="24"/>
        </w:rPr>
        <w:t>T 3989</w:t>
      </w:r>
      <w:r w:rsidR="00705364">
        <w:rPr>
          <w:rFonts w:ascii="Times New Roman" w:eastAsia="宋体" w:hAnsi="Times New Roman" w:cs="Times New Roman" w:hint="eastAsia"/>
          <w:sz w:val="24"/>
        </w:rPr>
        <w:t>-</w:t>
      </w:r>
      <w:r w:rsidR="00705364">
        <w:rPr>
          <w:rFonts w:ascii="Times New Roman" w:eastAsia="宋体" w:hAnsi="Times New Roman" w:cs="Times New Roman"/>
          <w:sz w:val="24"/>
        </w:rPr>
        <w:t>2021</w:t>
      </w:r>
      <w:r w:rsidR="00705364">
        <w:rPr>
          <w:rFonts w:ascii="Times New Roman" w:eastAsia="宋体" w:hAnsi="Times New Roman" w:cs="Times New Roman" w:hint="eastAsia"/>
          <w:sz w:val="24"/>
        </w:rPr>
        <w:t>《塑料大棚西瓜</w:t>
      </w:r>
      <w:r w:rsidR="00705364">
        <w:rPr>
          <w:rFonts w:ascii="Times New Roman" w:eastAsia="宋体" w:hAnsi="Times New Roman" w:cs="Times New Roman" w:hint="eastAsia"/>
          <w:sz w:val="24"/>
        </w:rPr>
        <w:t>-</w:t>
      </w:r>
      <w:r w:rsidR="00705364">
        <w:rPr>
          <w:rFonts w:ascii="Times New Roman" w:eastAsia="宋体" w:hAnsi="Times New Roman" w:cs="Times New Roman" w:hint="eastAsia"/>
          <w:sz w:val="24"/>
        </w:rPr>
        <w:t>水稻轮作栽培技术规程》，生长期重点加强病虫害预防。</w:t>
      </w:r>
    </w:p>
    <w:p w:rsidR="00BF7901" w:rsidRPr="001375F0" w:rsidRDefault="00BF7901" w:rsidP="001375F0">
      <w:pPr>
        <w:pStyle w:val="a3"/>
        <w:numPr>
          <w:ilvl w:val="0"/>
          <w:numId w:val="2"/>
        </w:numPr>
        <w:spacing w:line="360" w:lineRule="auto"/>
        <w:ind w:firstLineChars="0"/>
        <w:rPr>
          <w:rFonts w:ascii="Times New Roman" w:eastAsia="宋体" w:hAnsi="Times New Roman" w:cs="Times New Roman"/>
          <w:sz w:val="24"/>
        </w:rPr>
      </w:pPr>
      <w:r w:rsidRPr="001375F0">
        <w:rPr>
          <w:rFonts w:ascii="Times New Roman" w:eastAsia="宋体" w:hAnsi="Times New Roman" w:cs="Times New Roman" w:hint="eastAsia"/>
          <w:sz w:val="24"/>
        </w:rPr>
        <w:t>病虫害防治</w:t>
      </w:r>
    </w:p>
    <w:p w:rsidR="001375F0" w:rsidRPr="001375F0" w:rsidRDefault="001375F0" w:rsidP="001375F0">
      <w:pPr>
        <w:spacing w:line="360" w:lineRule="auto"/>
        <w:ind w:firstLineChars="200" w:firstLine="480"/>
        <w:rPr>
          <w:rFonts w:ascii="Times New Roman" w:eastAsia="宋体" w:hAnsi="Times New Roman" w:cs="Times New Roman"/>
          <w:sz w:val="24"/>
        </w:rPr>
      </w:pPr>
      <w:r w:rsidRPr="001375F0">
        <w:rPr>
          <w:rFonts w:ascii="Times New Roman" w:eastAsia="宋体" w:hAnsi="Times New Roman" w:cs="Times New Roman"/>
          <w:sz w:val="24"/>
        </w:rPr>
        <w:t>辣椒</w:t>
      </w:r>
      <w:r>
        <w:rPr>
          <w:rFonts w:ascii="Times New Roman" w:eastAsia="宋体" w:hAnsi="Times New Roman" w:cs="Times New Roman" w:hint="eastAsia"/>
          <w:sz w:val="24"/>
        </w:rPr>
        <w:t>和水稻</w:t>
      </w:r>
      <w:r w:rsidRPr="001375F0">
        <w:rPr>
          <w:rFonts w:ascii="Times New Roman" w:eastAsia="宋体" w:hAnsi="Times New Roman" w:cs="Times New Roman"/>
          <w:sz w:val="24"/>
        </w:rPr>
        <w:t>病虫害防治应遵循</w:t>
      </w:r>
      <w:r w:rsidRPr="001375F0">
        <w:rPr>
          <w:rFonts w:ascii="Times New Roman" w:eastAsia="宋体" w:hAnsi="Times New Roman" w:cs="Times New Roman"/>
          <w:sz w:val="24"/>
        </w:rPr>
        <w:t>“</w:t>
      </w:r>
      <w:r w:rsidRPr="001375F0">
        <w:rPr>
          <w:rFonts w:ascii="Times New Roman" w:eastAsia="宋体" w:hAnsi="Times New Roman" w:cs="Times New Roman"/>
          <w:sz w:val="24"/>
        </w:rPr>
        <w:t>预防为主、综合防治</w:t>
      </w:r>
      <w:r w:rsidRPr="001375F0">
        <w:rPr>
          <w:rFonts w:ascii="Times New Roman" w:eastAsia="宋体" w:hAnsi="Times New Roman" w:cs="Times New Roman"/>
          <w:sz w:val="24"/>
        </w:rPr>
        <w:t>”</w:t>
      </w:r>
      <w:r w:rsidRPr="001375F0">
        <w:rPr>
          <w:rFonts w:ascii="Times New Roman" w:eastAsia="宋体" w:hAnsi="Times New Roman" w:cs="Times New Roman"/>
          <w:sz w:val="24"/>
        </w:rPr>
        <w:t>的方针。</w:t>
      </w:r>
      <w:r>
        <w:rPr>
          <w:rFonts w:ascii="Times New Roman" w:eastAsia="宋体" w:hAnsi="Times New Roman" w:cs="Times New Roman" w:hint="eastAsia"/>
          <w:sz w:val="24"/>
        </w:rPr>
        <w:t>辣椒</w:t>
      </w:r>
      <w:r w:rsidRPr="001375F0">
        <w:rPr>
          <w:rFonts w:ascii="Times New Roman" w:eastAsia="宋体" w:hAnsi="Times New Roman" w:cs="Times New Roman"/>
          <w:sz w:val="24"/>
        </w:rPr>
        <w:t>前期主要以预防根腐病、疫病、灰霉病为主，兼顾防治蚜虫、红蜘蛛，中后期预防病毒病为主，兼顾防治烟青虫、白粉虱。可选用高效低毒杀菌剂、杀虫剂，注意交替与混合用药，每隔</w:t>
      </w:r>
      <w:r w:rsidRPr="001375F0">
        <w:rPr>
          <w:rFonts w:ascii="Times New Roman" w:eastAsia="宋体" w:hAnsi="Times New Roman" w:cs="Times New Roman"/>
          <w:sz w:val="24"/>
        </w:rPr>
        <w:t>7-10</w:t>
      </w:r>
      <w:r w:rsidRPr="001375F0">
        <w:rPr>
          <w:rFonts w:ascii="Times New Roman" w:eastAsia="宋体" w:hAnsi="Times New Roman" w:cs="Times New Roman"/>
          <w:sz w:val="24"/>
        </w:rPr>
        <w:t>天防治一次。</w:t>
      </w:r>
      <w:r>
        <w:rPr>
          <w:rFonts w:ascii="Times New Roman" w:eastAsia="宋体" w:hAnsi="Times New Roman" w:cs="Times New Roman" w:hint="eastAsia"/>
          <w:sz w:val="24"/>
        </w:rPr>
        <w:t>水稻苗期</w:t>
      </w:r>
      <w:r w:rsidRPr="00306450">
        <w:rPr>
          <w:rFonts w:ascii="Times New Roman" w:eastAsia="宋体" w:hAnsi="Times New Roman" w:cs="Times New Roman"/>
          <w:kern w:val="0"/>
          <w:sz w:val="24"/>
        </w:rPr>
        <w:t>注意防治立枯病、叶瘟病和虫害。生长密闭后，</w:t>
      </w:r>
      <w:r>
        <w:rPr>
          <w:rFonts w:ascii="Times New Roman" w:eastAsia="宋体" w:hAnsi="Times New Roman" w:cs="Times New Roman" w:hint="eastAsia"/>
          <w:kern w:val="0"/>
          <w:sz w:val="24"/>
        </w:rPr>
        <w:t>预防</w:t>
      </w:r>
      <w:r w:rsidRPr="00306450">
        <w:rPr>
          <w:rFonts w:ascii="Times New Roman" w:eastAsia="宋体" w:hAnsi="Times New Roman" w:cs="Times New Roman"/>
          <w:kern w:val="0"/>
          <w:sz w:val="24"/>
        </w:rPr>
        <w:t>纹枯病</w:t>
      </w:r>
      <w:r>
        <w:rPr>
          <w:rFonts w:ascii="Times New Roman" w:eastAsia="宋体" w:hAnsi="Times New Roman" w:cs="Times New Roman" w:hint="eastAsia"/>
          <w:kern w:val="0"/>
          <w:sz w:val="24"/>
        </w:rPr>
        <w:t>、防治</w:t>
      </w:r>
      <w:r w:rsidRPr="00306450">
        <w:rPr>
          <w:rFonts w:ascii="Times New Roman" w:eastAsia="宋体" w:hAnsi="Times New Roman" w:cs="Times New Roman"/>
          <w:kern w:val="0"/>
          <w:sz w:val="24"/>
        </w:rPr>
        <w:t>稻飞虱</w:t>
      </w:r>
      <w:r>
        <w:rPr>
          <w:rFonts w:ascii="Times New Roman" w:eastAsia="宋体" w:hAnsi="Times New Roman" w:cs="Times New Roman" w:hint="eastAsia"/>
          <w:kern w:val="0"/>
          <w:sz w:val="24"/>
        </w:rPr>
        <w:t>和</w:t>
      </w:r>
      <w:r w:rsidRPr="00306450">
        <w:rPr>
          <w:rFonts w:ascii="Times New Roman" w:eastAsia="宋体" w:hAnsi="Times New Roman" w:cs="Times New Roman"/>
          <w:kern w:val="0"/>
          <w:sz w:val="24"/>
        </w:rPr>
        <w:t>稻纵卷叶螟。破口期防治稻穗瘟，</w:t>
      </w:r>
      <w:r>
        <w:rPr>
          <w:rFonts w:ascii="Times New Roman" w:eastAsia="宋体" w:hAnsi="Times New Roman" w:cs="Times New Roman" w:hint="eastAsia"/>
          <w:kern w:val="0"/>
          <w:sz w:val="24"/>
        </w:rPr>
        <w:t>后</w:t>
      </w:r>
      <w:r w:rsidRPr="00306450">
        <w:rPr>
          <w:rFonts w:ascii="Times New Roman" w:eastAsia="宋体" w:hAnsi="Times New Roman" w:cs="Times New Roman"/>
          <w:kern w:val="0"/>
          <w:sz w:val="24"/>
        </w:rPr>
        <w:t>期做好褐飞虱防控，在灌浆结实期，应干干湿湿交替灌溉，养根保叶促灌浆，不宜断水。</w:t>
      </w:r>
      <w:r>
        <w:rPr>
          <w:rFonts w:ascii="Times New Roman" w:eastAsia="宋体" w:hAnsi="Times New Roman" w:cs="Times New Roman" w:hint="eastAsia"/>
          <w:kern w:val="0"/>
          <w:sz w:val="24"/>
        </w:rPr>
        <w:t>附录</w:t>
      </w:r>
      <w:r>
        <w:rPr>
          <w:rFonts w:ascii="Times New Roman" w:eastAsia="宋体" w:hAnsi="Times New Roman" w:cs="Times New Roman" w:hint="eastAsia"/>
          <w:kern w:val="0"/>
          <w:sz w:val="24"/>
        </w:rPr>
        <w:t>A</w:t>
      </w:r>
      <w:r>
        <w:rPr>
          <w:rFonts w:ascii="Times New Roman" w:eastAsia="宋体" w:hAnsi="Times New Roman" w:cs="Times New Roman" w:hint="eastAsia"/>
          <w:kern w:val="0"/>
          <w:sz w:val="24"/>
        </w:rPr>
        <w:t>整理来在辣椒生产病虫害登记的农药品种、使用方法等内容。</w:t>
      </w:r>
    </w:p>
    <w:p w:rsidR="00C040BD" w:rsidRDefault="00C040BD" w:rsidP="00C040BD">
      <w:pPr>
        <w:spacing w:line="360" w:lineRule="auto"/>
        <w:ind w:firstLine="480"/>
        <w:rPr>
          <w:rFonts w:ascii="Times New Roman" w:eastAsia="宋体" w:hAnsi="Times New Roman" w:cs="Times New Roman"/>
          <w:b/>
          <w:sz w:val="24"/>
        </w:rPr>
      </w:pPr>
      <w:r w:rsidRPr="00C040BD">
        <w:rPr>
          <w:rFonts w:ascii="Times New Roman" w:eastAsia="宋体" w:hAnsi="Times New Roman" w:cs="Times New Roman" w:hint="eastAsia"/>
          <w:b/>
          <w:sz w:val="24"/>
        </w:rPr>
        <w:t>五、技术指标确定依据</w:t>
      </w:r>
    </w:p>
    <w:p w:rsidR="00C040BD" w:rsidRDefault="00C040BD" w:rsidP="00C040BD">
      <w:pPr>
        <w:spacing w:line="360" w:lineRule="auto"/>
        <w:ind w:firstLine="480"/>
        <w:rPr>
          <w:rFonts w:ascii="Times New Roman" w:eastAsia="宋体" w:hAnsi="Times New Roman" w:cs="Times New Roman"/>
          <w:sz w:val="24"/>
        </w:rPr>
      </w:pPr>
      <w:r w:rsidRPr="00C040BD">
        <w:rPr>
          <w:rFonts w:ascii="Times New Roman" w:eastAsia="宋体" w:hAnsi="Times New Roman" w:cs="Times New Roman" w:hint="eastAsia"/>
          <w:sz w:val="24"/>
        </w:rPr>
        <w:t>（一）标准的编写原则</w:t>
      </w:r>
    </w:p>
    <w:p w:rsidR="00C040BD" w:rsidRDefault="00C040BD" w:rsidP="00C040BD">
      <w:pPr>
        <w:spacing w:line="360" w:lineRule="auto"/>
        <w:ind w:firstLine="480"/>
        <w:rPr>
          <w:rFonts w:ascii="Times New Roman" w:eastAsia="宋体" w:hAnsi="Times New Roman" w:cs="Times New Roman"/>
          <w:sz w:val="24"/>
        </w:rPr>
      </w:pPr>
      <w:r>
        <w:rPr>
          <w:rFonts w:ascii="Times New Roman" w:eastAsia="宋体" w:hAnsi="Times New Roman" w:cs="Times New Roman" w:hint="eastAsia"/>
          <w:sz w:val="24"/>
        </w:rPr>
        <w:t>本标准按照</w:t>
      </w:r>
      <w:r>
        <w:rPr>
          <w:rFonts w:ascii="Times New Roman" w:eastAsia="宋体" w:hAnsi="Times New Roman" w:cs="Times New Roman" w:hint="eastAsia"/>
          <w:sz w:val="24"/>
        </w:rPr>
        <w:t>G</w:t>
      </w:r>
      <w:r>
        <w:rPr>
          <w:rFonts w:ascii="Times New Roman" w:eastAsia="宋体" w:hAnsi="Times New Roman" w:cs="Times New Roman"/>
          <w:sz w:val="24"/>
        </w:rPr>
        <w:t>B/T1.1</w:t>
      </w:r>
      <w:r>
        <w:rPr>
          <w:rFonts w:ascii="Times New Roman" w:eastAsia="宋体" w:hAnsi="Times New Roman" w:cs="Times New Roman" w:hint="eastAsia"/>
          <w:sz w:val="24"/>
        </w:rPr>
        <w:t>-</w:t>
      </w:r>
      <w:r>
        <w:rPr>
          <w:rFonts w:ascii="Times New Roman" w:eastAsia="宋体" w:hAnsi="Times New Roman" w:cs="Times New Roman"/>
          <w:sz w:val="24"/>
        </w:rPr>
        <w:t>2020</w:t>
      </w:r>
      <w:r>
        <w:rPr>
          <w:rFonts w:ascii="Times New Roman" w:eastAsia="宋体" w:hAnsi="Times New Roman" w:cs="Times New Roman" w:hint="eastAsia"/>
          <w:sz w:val="24"/>
        </w:rPr>
        <w:t>《标准化工作导则</w:t>
      </w:r>
      <w:r>
        <w:rPr>
          <w:rFonts w:ascii="Times New Roman" w:eastAsia="宋体" w:hAnsi="Times New Roman" w:cs="Times New Roman" w:hint="eastAsia"/>
          <w:sz w:val="24"/>
        </w:rPr>
        <w:t xml:space="preserve"> </w:t>
      </w:r>
      <w:r>
        <w:rPr>
          <w:rFonts w:ascii="Times New Roman" w:eastAsia="宋体" w:hAnsi="Times New Roman" w:cs="Times New Roman" w:hint="eastAsia"/>
          <w:sz w:val="24"/>
        </w:rPr>
        <w:t>第</w:t>
      </w:r>
      <w:r>
        <w:rPr>
          <w:rFonts w:ascii="Times New Roman" w:eastAsia="宋体" w:hAnsi="Times New Roman" w:cs="Times New Roman" w:hint="eastAsia"/>
          <w:sz w:val="24"/>
        </w:rPr>
        <w:t>1</w:t>
      </w:r>
      <w:r>
        <w:rPr>
          <w:rFonts w:ascii="Times New Roman" w:eastAsia="宋体" w:hAnsi="Times New Roman" w:cs="Times New Roman" w:hint="eastAsia"/>
          <w:sz w:val="24"/>
        </w:rPr>
        <w:t>部分：标准化文件的结构和起草规则》的规定起草，遵循“科学、适度、可行”的原则，以使标准具有一定的先进性、通用性和</w:t>
      </w:r>
      <w:r w:rsidR="00DE5CAE">
        <w:rPr>
          <w:rFonts w:ascii="Times New Roman" w:eastAsia="宋体" w:hAnsi="Times New Roman" w:cs="Times New Roman" w:hint="eastAsia"/>
          <w:sz w:val="24"/>
        </w:rPr>
        <w:t>可操作性。在查阅相关文献资料、生产示范应用的基础上，力求反应近年来主要研究成果和应用技术，尽可能吸收目前国内或行业普遍采用或认可的产品、技术和成果。在标准的征求意见稿和送审稿的编制过程中力求做到技术内容的叙述正确无误，文字表达准确、简明易懂，标准的构成严谨合理，内容编排、层次划分等符合逻辑。制定的标准力求切实可行，与辣椒水稻轮作生产实际情况相适应，易于技术推广者、生产者正确掌握和使用。</w:t>
      </w:r>
    </w:p>
    <w:p w:rsidR="00DE5CAE" w:rsidRDefault="00DE5CAE" w:rsidP="00C040BD">
      <w:pPr>
        <w:spacing w:line="360" w:lineRule="auto"/>
        <w:ind w:firstLine="480"/>
        <w:rPr>
          <w:rFonts w:ascii="Times New Roman" w:eastAsia="宋体" w:hAnsi="Times New Roman" w:cs="Times New Roman"/>
          <w:sz w:val="24"/>
        </w:rPr>
      </w:pPr>
      <w:r>
        <w:rPr>
          <w:rFonts w:ascii="Times New Roman" w:eastAsia="宋体" w:hAnsi="Times New Roman" w:cs="Times New Roman" w:hint="eastAsia"/>
          <w:sz w:val="24"/>
        </w:rPr>
        <w:lastRenderedPageBreak/>
        <w:t>（二）标准提出的依据</w:t>
      </w:r>
    </w:p>
    <w:p w:rsidR="00F24427" w:rsidRDefault="00DE5CAE" w:rsidP="00C040BD">
      <w:pPr>
        <w:spacing w:line="360" w:lineRule="auto"/>
        <w:ind w:firstLine="480"/>
        <w:rPr>
          <w:rFonts w:ascii="Times New Roman" w:eastAsia="宋体" w:hAnsi="Times New Roman" w:cs="Times New Roman"/>
          <w:sz w:val="24"/>
        </w:rPr>
      </w:pPr>
      <w:r>
        <w:rPr>
          <w:rFonts w:ascii="Times New Roman" w:eastAsia="宋体" w:hAnsi="Times New Roman" w:cs="Times New Roman" w:hint="eastAsia"/>
          <w:sz w:val="24"/>
        </w:rPr>
        <w:t>本文件技术指标主要在查阅来国内大量相关文献资料，参照国家大宗蔬菜产业技术体系、江苏现代农业（蔬菜）产业技术体系</w:t>
      </w:r>
      <w:r w:rsidR="00F24427">
        <w:rPr>
          <w:rFonts w:ascii="Times New Roman" w:eastAsia="宋体" w:hAnsi="Times New Roman" w:cs="Times New Roman" w:hint="eastAsia"/>
          <w:sz w:val="24"/>
        </w:rPr>
        <w:t>，参考了稻椒轮作高产栽培、稻椒轮作关键技术及《塑料大棚辣椒栽培技术规程》（</w:t>
      </w:r>
      <w:r w:rsidR="00F24427" w:rsidRPr="00F24427">
        <w:rPr>
          <w:rFonts w:ascii="Times New Roman" w:eastAsia="宋体" w:hAnsi="Times New Roman" w:cs="Times New Roman"/>
          <w:sz w:val="24"/>
        </w:rPr>
        <w:t>DB32/T 536-2010</w:t>
      </w:r>
      <w:r w:rsidR="00F24427">
        <w:rPr>
          <w:rFonts w:ascii="Times New Roman" w:eastAsia="宋体" w:hAnsi="Times New Roman" w:cs="Times New Roman" w:hint="eastAsia"/>
          <w:sz w:val="24"/>
        </w:rPr>
        <w:t>）《南粳</w:t>
      </w:r>
      <w:r w:rsidR="00F24427">
        <w:rPr>
          <w:rFonts w:ascii="Times New Roman" w:eastAsia="宋体" w:hAnsi="Times New Roman" w:cs="Times New Roman" w:hint="eastAsia"/>
          <w:sz w:val="24"/>
        </w:rPr>
        <w:t>9</w:t>
      </w:r>
      <w:r w:rsidR="00F24427">
        <w:rPr>
          <w:rFonts w:ascii="Times New Roman" w:eastAsia="宋体" w:hAnsi="Times New Roman" w:cs="Times New Roman"/>
          <w:sz w:val="24"/>
        </w:rPr>
        <w:t>108</w:t>
      </w:r>
      <w:r w:rsidR="00F24427">
        <w:rPr>
          <w:rFonts w:ascii="Times New Roman" w:eastAsia="宋体" w:hAnsi="Times New Roman" w:cs="Times New Roman" w:hint="eastAsia"/>
          <w:sz w:val="24"/>
        </w:rPr>
        <w:t>机插栽培技术规程》（</w:t>
      </w:r>
      <w:r w:rsidR="00F24427" w:rsidRPr="00F24427">
        <w:rPr>
          <w:rFonts w:ascii="Times New Roman" w:eastAsia="宋体" w:hAnsi="Times New Roman" w:cs="Times New Roman"/>
          <w:sz w:val="24"/>
        </w:rPr>
        <w:t>DB32/T 2793-2015</w:t>
      </w:r>
      <w:r w:rsidR="00F24427">
        <w:rPr>
          <w:rFonts w:ascii="Times New Roman" w:eastAsia="宋体" w:hAnsi="Times New Roman" w:cs="Times New Roman" w:hint="eastAsia"/>
          <w:sz w:val="24"/>
        </w:rPr>
        <w:t>）等标准相关内容。</w:t>
      </w:r>
    </w:p>
    <w:p w:rsidR="00F24427" w:rsidRPr="00A86A7B" w:rsidRDefault="00F24427" w:rsidP="00C040BD">
      <w:pPr>
        <w:spacing w:line="360" w:lineRule="auto"/>
        <w:ind w:firstLine="480"/>
        <w:rPr>
          <w:rFonts w:ascii="Times New Roman" w:eastAsia="宋体" w:hAnsi="Times New Roman" w:cs="Times New Roman"/>
          <w:b/>
          <w:sz w:val="24"/>
        </w:rPr>
      </w:pPr>
      <w:r w:rsidRPr="00A86A7B">
        <w:rPr>
          <w:rFonts w:ascii="Times New Roman" w:eastAsia="宋体" w:hAnsi="Times New Roman" w:cs="Times New Roman" w:hint="eastAsia"/>
          <w:b/>
          <w:sz w:val="24"/>
        </w:rPr>
        <w:t>六、</w:t>
      </w:r>
      <w:r w:rsidR="00A86A7B" w:rsidRPr="00A86A7B">
        <w:rPr>
          <w:rFonts w:ascii="Times New Roman" w:eastAsia="宋体" w:hAnsi="Times New Roman" w:cs="Times New Roman" w:hint="eastAsia"/>
          <w:b/>
          <w:sz w:val="24"/>
        </w:rPr>
        <w:t>与现行法律法规和强制性标准的关系</w:t>
      </w:r>
    </w:p>
    <w:p w:rsidR="00A86A7B" w:rsidRDefault="00A86A7B" w:rsidP="00C040BD">
      <w:pPr>
        <w:spacing w:line="360" w:lineRule="auto"/>
        <w:ind w:firstLine="480"/>
        <w:rPr>
          <w:rFonts w:ascii="Times New Roman" w:eastAsia="宋体" w:hAnsi="Times New Roman" w:cs="Times New Roman"/>
          <w:sz w:val="24"/>
        </w:rPr>
      </w:pPr>
      <w:r>
        <w:rPr>
          <w:rFonts w:ascii="Times New Roman" w:eastAsia="宋体" w:hAnsi="Times New Roman" w:cs="Times New Roman" w:hint="eastAsia"/>
          <w:sz w:val="24"/>
        </w:rPr>
        <w:t>本标准与现行法律法规和强制性标准都不冲突。</w:t>
      </w:r>
    </w:p>
    <w:p w:rsidR="00A86A7B" w:rsidRDefault="00A86A7B" w:rsidP="00C040BD">
      <w:pPr>
        <w:spacing w:line="360" w:lineRule="auto"/>
        <w:ind w:firstLine="480"/>
        <w:rPr>
          <w:rFonts w:ascii="Times New Roman" w:eastAsia="宋体" w:hAnsi="Times New Roman" w:cs="Times New Roman"/>
          <w:b/>
          <w:sz w:val="24"/>
        </w:rPr>
      </w:pPr>
      <w:r w:rsidRPr="00A86A7B">
        <w:rPr>
          <w:rFonts w:ascii="Times New Roman" w:eastAsia="宋体" w:hAnsi="Times New Roman" w:cs="Times New Roman" w:hint="eastAsia"/>
          <w:b/>
          <w:sz w:val="24"/>
        </w:rPr>
        <w:t>七、推广实施建议</w:t>
      </w:r>
    </w:p>
    <w:p w:rsidR="00A86A7B" w:rsidRDefault="00A86A7B" w:rsidP="00C040BD">
      <w:pPr>
        <w:spacing w:line="360" w:lineRule="auto"/>
        <w:ind w:firstLine="480"/>
        <w:rPr>
          <w:rFonts w:ascii="Times New Roman" w:eastAsia="宋体" w:hAnsi="Times New Roman" w:cs="Times New Roman"/>
          <w:sz w:val="24"/>
        </w:rPr>
      </w:pPr>
      <w:r w:rsidRPr="00A86A7B">
        <w:rPr>
          <w:rFonts w:ascii="Times New Roman" w:eastAsia="宋体" w:hAnsi="Times New Roman" w:cs="Times New Roman" w:hint="eastAsia"/>
          <w:sz w:val="24"/>
        </w:rPr>
        <w:t>本标准</w:t>
      </w:r>
      <w:r>
        <w:rPr>
          <w:rFonts w:ascii="Times New Roman" w:eastAsia="宋体" w:hAnsi="Times New Roman" w:cs="Times New Roman" w:hint="eastAsia"/>
          <w:sz w:val="24"/>
        </w:rPr>
        <w:t>适宜在江苏省及周边地区推广应用。建议由江苏省市场监督管理局会同有关业务部门组织对此标准的贯彻实施，开展宣传和技术培训，推动本标准实施应用。</w:t>
      </w:r>
    </w:p>
    <w:sectPr w:rsidR="00A86A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D15" w:rsidRDefault="004E5D15" w:rsidP="00C203F8">
      <w:r>
        <w:separator/>
      </w:r>
    </w:p>
  </w:endnote>
  <w:endnote w:type="continuationSeparator" w:id="0">
    <w:p w:rsidR="004E5D15" w:rsidRDefault="004E5D15" w:rsidP="00C20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D15" w:rsidRDefault="004E5D15" w:rsidP="00C203F8">
      <w:r>
        <w:separator/>
      </w:r>
    </w:p>
  </w:footnote>
  <w:footnote w:type="continuationSeparator" w:id="0">
    <w:p w:rsidR="004E5D15" w:rsidRDefault="004E5D15" w:rsidP="00C20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D3D13"/>
    <w:multiLevelType w:val="hybridMultilevel"/>
    <w:tmpl w:val="4DFE9D1A"/>
    <w:lvl w:ilvl="0" w:tplc="DB32D12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004A1F"/>
    <w:multiLevelType w:val="hybridMultilevel"/>
    <w:tmpl w:val="83EEB866"/>
    <w:lvl w:ilvl="0" w:tplc="CA5A5B8C">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D06"/>
    <w:rsid w:val="00041194"/>
    <w:rsid w:val="00094217"/>
    <w:rsid w:val="001375F0"/>
    <w:rsid w:val="001E0905"/>
    <w:rsid w:val="004E5D15"/>
    <w:rsid w:val="006475F6"/>
    <w:rsid w:val="00705364"/>
    <w:rsid w:val="00775939"/>
    <w:rsid w:val="00835D3B"/>
    <w:rsid w:val="009F7D54"/>
    <w:rsid w:val="00A86A7B"/>
    <w:rsid w:val="00B65E1F"/>
    <w:rsid w:val="00B95694"/>
    <w:rsid w:val="00BF7901"/>
    <w:rsid w:val="00C00D06"/>
    <w:rsid w:val="00C040BD"/>
    <w:rsid w:val="00C203F8"/>
    <w:rsid w:val="00CA6912"/>
    <w:rsid w:val="00D96BA1"/>
    <w:rsid w:val="00DE5CAE"/>
    <w:rsid w:val="00F027F9"/>
    <w:rsid w:val="00F24427"/>
    <w:rsid w:val="00FD7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EAE38"/>
  <w15:chartTrackingRefBased/>
  <w15:docId w15:val="{059DB298-559F-4CD5-99A0-CAB482B8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FD70F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5939"/>
    <w:pPr>
      <w:ind w:firstLineChars="200" w:firstLine="420"/>
    </w:pPr>
  </w:style>
  <w:style w:type="character" w:customStyle="1" w:styleId="20">
    <w:name w:val="标题 2 字符"/>
    <w:basedOn w:val="a0"/>
    <w:link w:val="2"/>
    <w:uiPriority w:val="9"/>
    <w:rsid w:val="00FD70F4"/>
    <w:rPr>
      <w:rFonts w:ascii="宋体" w:eastAsia="宋体" w:hAnsi="宋体" w:cs="宋体"/>
      <w:b/>
      <w:bCs/>
      <w:kern w:val="0"/>
      <w:sz w:val="36"/>
      <w:szCs w:val="36"/>
    </w:rPr>
  </w:style>
  <w:style w:type="character" w:customStyle="1" w:styleId="Char">
    <w:name w:val="段 Char"/>
    <w:link w:val="a4"/>
    <w:rsid w:val="00F027F9"/>
    <w:rPr>
      <w:rFonts w:ascii="宋体"/>
    </w:rPr>
  </w:style>
  <w:style w:type="paragraph" w:customStyle="1" w:styleId="a4">
    <w:name w:val="段"/>
    <w:link w:val="Char"/>
    <w:rsid w:val="00F027F9"/>
    <w:pPr>
      <w:tabs>
        <w:tab w:val="center" w:pos="4201"/>
        <w:tab w:val="right" w:leader="dot" w:pos="9298"/>
      </w:tabs>
      <w:autoSpaceDE w:val="0"/>
      <w:autoSpaceDN w:val="0"/>
      <w:ind w:firstLineChars="200" w:firstLine="420"/>
      <w:jc w:val="both"/>
    </w:pPr>
    <w:rPr>
      <w:rFonts w:ascii="宋体"/>
    </w:rPr>
  </w:style>
  <w:style w:type="paragraph" w:styleId="a5">
    <w:name w:val="header"/>
    <w:basedOn w:val="a"/>
    <w:link w:val="a6"/>
    <w:uiPriority w:val="99"/>
    <w:unhideWhenUsed/>
    <w:rsid w:val="00C203F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203F8"/>
    <w:rPr>
      <w:sz w:val="18"/>
      <w:szCs w:val="18"/>
    </w:rPr>
  </w:style>
  <w:style w:type="paragraph" w:styleId="a7">
    <w:name w:val="footer"/>
    <w:basedOn w:val="a"/>
    <w:link w:val="a8"/>
    <w:uiPriority w:val="99"/>
    <w:unhideWhenUsed/>
    <w:rsid w:val="00C203F8"/>
    <w:pPr>
      <w:tabs>
        <w:tab w:val="center" w:pos="4153"/>
        <w:tab w:val="right" w:pos="8306"/>
      </w:tabs>
      <w:snapToGrid w:val="0"/>
      <w:jc w:val="left"/>
    </w:pPr>
    <w:rPr>
      <w:sz w:val="18"/>
      <w:szCs w:val="18"/>
    </w:rPr>
  </w:style>
  <w:style w:type="character" w:customStyle="1" w:styleId="a8">
    <w:name w:val="页脚 字符"/>
    <w:basedOn w:val="a0"/>
    <w:link w:val="a7"/>
    <w:uiPriority w:val="99"/>
    <w:rsid w:val="00C203F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474605">
      <w:bodyDiv w:val="1"/>
      <w:marLeft w:val="0"/>
      <w:marRight w:val="0"/>
      <w:marTop w:val="0"/>
      <w:marBottom w:val="0"/>
      <w:divBdr>
        <w:top w:val="none" w:sz="0" w:space="0" w:color="auto"/>
        <w:left w:val="none" w:sz="0" w:space="0" w:color="auto"/>
        <w:bottom w:val="none" w:sz="0" w:space="0" w:color="auto"/>
        <w:right w:val="none" w:sz="0" w:space="0" w:color="auto"/>
      </w:divBdr>
    </w:div>
    <w:div w:id="96150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4</Pages>
  <Words>454</Words>
  <Characters>2594</Characters>
  <Application>Microsoft Office Word</Application>
  <DocSecurity>0</DocSecurity>
  <Lines>21</Lines>
  <Paragraphs>6</Paragraphs>
  <ScaleCrop>false</ScaleCrop>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刁卫平</dc:creator>
  <cp:keywords/>
  <dc:description/>
  <cp:lastModifiedBy>刁卫平</cp:lastModifiedBy>
  <cp:revision>7</cp:revision>
  <dcterms:created xsi:type="dcterms:W3CDTF">2024-09-02T01:26:00Z</dcterms:created>
  <dcterms:modified xsi:type="dcterms:W3CDTF">2024-09-02T09:43:00Z</dcterms:modified>
</cp:coreProperties>
</file>